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242026_100929.xml.htm"/>
      <w:bookmarkStart w:id="1" w:name="ksform309242026_10092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Zhu Rui (NMN)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ADARX PHARMACEUTICALS,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5871 OBERLIN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ADARx Pharmaceuticals, Inc.</w:t>
              </w:r>
            </w:hyperlink>
            <w:r>
              <w:rPr/>
              <w:t xml:space="preserve"> [ </w:t>
            </w:r>
            <w:r>
              <w:rPr>
                <w:rFonts w:ascii="Times;serif" w:hAnsi="Times;serif"/>
                <w:color w:val="0000FF"/>
                <w:sz w:val="24"/>
                <w:shd w:fill="FFFFFF" w:val="clear"/>
              </w:rPr>
              <w:t>ADRX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2,511,943</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1"/>
        <w:gridCol w:w="1221"/>
        <w:gridCol w:w="1126"/>
        <w:gridCol w:w="1332"/>
        <w:gridCol w:w="976"/>
        <w:gridCol w:w="1262"/>
        <w:gridCol w:w="1224"/>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0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3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08/19/2030</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501,996</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0.24</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12/06/2030</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140,305</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0.24</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03/18/2031</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34,138</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0.24</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05/20/2031</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362,453</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0.56</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02/22/2032</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34,138</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02/25/2033</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42,673</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01/16/2034</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51,207</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5.84</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02/11/2035</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42,673</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01/27/2036</w:t>
            </w:r>
          </w:p>
        </w:tc>
        <w:tc>
          <w:tcPr>
            <w:tcW w:w="13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68,276</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w:t>
            </w:r>
          </w:p>
        </w:tc>
        <w:tc>
          <w:tcPr>
            <w:tcW w:w="12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to the Reporting Person on August 20, 2020. The shares subject to the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to the Reporting Person on December 7, 2020. The shares subject to the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Granted to the Reporting Person on March 19, 2021. The shares subject to the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Granted to the Reporting Person on May 21, 2021. The shares subject to the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Granted to the Reporting Person on February 23, 2022. The shares subject to the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Granted to the Reporting Person on February 26, 2023. 1/4 of the total number of shares vested and became exercisable on January 1, 2024 and the remaining shares vest and become exercisable in equal quarterly installments thereafter over a three-year period,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Granted to the Reporting Person on January 17, 2024. 1/4 of the total number of shares vested and became exercisable on January 1, 2025 and the remaining shares vest and become exercisable in equal quarterly installments thereafter over a three-year period,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Granted to the Reporting Person on February 12, 2025. 1/4 of the total number of shares vested and became exercisable on January 1, 2026 and the remaining shares vest and become exercisable in equal quarterly installments thereafter over a three-year period,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Granted to the Reporting Person on January 28, 2026. 1/4 of the total number of shares vest and become exercisable on January 1, 2027 and the remaining shares vest and become exercisable in equal quarterly installments thereafter over a three-year period, subject to the Reporting Person's continued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Jiang Bian ,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9242026_100932.htm"/>
      <w:bookmarkStart w:id="3" w:name="ksex2409242026_100932"/>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Jiang Bian, Adam Shubin and John San Jule of ADARx Pharmaceuticals,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tbl>
      <w:tblPr>
        <w:tblW w:w="9360" w:type="dxa"/>
        <w:jc w:val="center"/>
        <w:tblInd w:w="0" w:type="dxa"/>
        <w:tblLayout w:type="fixed"/>
        <w:tblCellMar>
          <w:top w:w="0" w:type="dxa"/>
          <w:left w:w="0" w:type="dxa"/>
          <w:bottom w:w="0" w:type="dxa"/>
          <w:right w:w="0" w:type="dxa"/>
        </w:tblCellMar>
      </w:tblPr>
      <w:tblGrid>
        <w:gridCol w:w="4680"/>
        <w:gridCol w:w="4680"/>
      </w:tblGrid>
      <w:tr>
        <w:trPr/>
        <w:tc>
          <w:tcPr>
            <w:tcW w:w="4680" w:type="dxa"/>
            <w:tcBorders/>
            <w:vAlign w:val="center"/>
          </w:tcPr>
          <w:p>
            <w:pPr>
              <w:pStyle w:val="TableContents"/>
              <w:bidi w:val="0"/>
              <w:spacing w:before="0" w:after="283"/>
              <w:jc w:val="left"/>
              <w:rPr>
                <w:sz w:val="4"/>
                <w:szCs w:val="4"/>
              </w:rPr>
            </w:pPr>
            <w:r>
              <w:rPr>
                <w:sz w:val="4"/>
                <w:szCs w:val="4"/>
              </w:rPr>
            </w:r>
          </w:p>
        </w:tc>
        <w:tc>
          <w:tcPr>
            <w:tcW w:w="4680" w:type="dxa"/>
            <w:tcBorders/>
            <w:vAlign w:val="center"/>
          </w:tcPr>
          <w:p>
            <w:pPr>
              <w:pStyle w:val="TableContents"/>
              <w:bidi w:val="0"/>
              <w:spacing w:before="0" w:after="283"/>
              <w:jc w:val="left"/>
              <w:rPr>
                <w:sz w:val="4"/>
                <w:szCs w:val="4"/>
              </w:rPr>
            </w:pPr>
            <w:r>
              <w:rPr>
                <w:sz w:val="4"/>
                <w:szCs w:val="4"/>
              </w:rPr>
            </w:r>
          </w:p>
        </w:tc>
      </w:tr>
      <w:tr>
        <w:trPr/>
        <w:tc>
          <w:tcPr>
            <w:tcW w:w="4680" w:type="dxa"/>
            <w:tcBorders/>
          </w:tcPr>
          <w:p>
            <w:pPr>
              <w:pStyle w:val="TableContents"/>
              <w:bidi w:val="0"/>
              <w:spacing w:before="0" w:after="0"/>
              <w:ind w:left="0" w:right="0" w:hanging="0"/>
              <w:jc w:val="both"/>
              <w:rPr/>
            </w:pPr>
            <w:r>
              <w:rPr/>
              <w:t>Date:  </w:t>
            </w:r>
            <w:r>
              <w:rPr>
                <w:u w:val="single"/>
              </w:rPr>
              <w:t>9/22/2026</w:t>
            </w:r>
          </w:p>
        </w:tc>
        <w:tc>
          <w:tcPr>
            <w:tcW w:w="4680" w:type="dxa"/>
            <w:tcBorders/>
          </w:tcPr>
          <w:p>
            <w:pPr>
              <w:pStyle w:val="TableContents"/>
              <w:bidi w:val="0"/>
              <w:spacing w:before="0" w:after="0"/>
              <w:ind w:left="0" w:right="0" w:hanging="0"/>
              <w:jc w:val="both"/>
              <w:rPr>
                <w:i/>
                <w:u w:val="single"/>
              </w:rPr>
            </w:pPr>
            <w:r>
              <w:rPr>
                <w:i/>
                <w:u w:val="single"/>
              </w:rPr>
              <w:t>/s/ Rui Zhu, Ph.D.</w:t>
            </w:r>
          </w:p>
          <w:p>
            <w:pPr>
              <w:pStyle w:val="TableContents"/>
              <w:bidi w:val="0"/>
              <w:spacing w:before="0" w:after="0"/>
              <w:ind w:left="0" w:right="0" w:hanging="0"/>
              <w:jc w:val="both"/>
              <w:rPr/>
            </w:pPr>
            <w:r>
              <w:rPr/>
              <w:t>Name: Rui Zhu, Ph.D.</w:t>
            </w:r>
          </w:p>
        </w:tc>
      </w:tr>
    </w:tbl>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3958" TargetMode="External"/><Relationship Id="rId3" Type="http://schemas.openxmlformats.org/officeDocument/2006/relationships/hyperlink" Target="http://www.sec.gov/cgi-bin/browse-edgar?action=getcompany&amp;CIK=000180236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1358</Words>
  <Characters>7123</Characters>
  <CharactersWithSpaces>8349</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