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9242026_100933.xml.htm"/>
      <w:bookmarkStart w:id="1" w:name="ksform309242026_10093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 Zhen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ADARX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5871 OBERLIN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ADARx Pharmaceuticals, Inc.</w:t>
              </w:r>
            </w:hyperlink>
            <w:r>
              <w:rPr/>
              <w:t xml:space="preserve"> [ </w:t>
            </w:r>
            <w:r>
              <w:rPr>
                <w:rFonts w:ascii="Times;serif" w:hAnsi="Times;serif"/>
                <w:color w:val="0000FF"/>
                <w:sz w:val="24"/>
                <w:shd w:fill="FFFFFF" w:val="clear"/>
              </w:rPr>
              <w:t>ADRX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5,861,199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613"/>
        <w:gridCol w:w="1222"/>
        <w:gridCol w:w="1124"/>
        <w:gridCol w:w="1291"/>
        <w:gridCol w:w="1140"/>
        <w:gridCol w:w="1255"/>
        <w:gridCol w:w="1214"/>
        <w:gridCol w:w="134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08/19/2030</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1,171,325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12/06/2030</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327,378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03/18/2031</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320,500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05/20/2031</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845,726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0.56</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07/29/2031</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710,541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02/22/2032</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436,715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02/25/2033</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436,715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773,085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426,730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01/27/2036</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443,799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08/19/2030</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17,069</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03/18/2031</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02/22/2032</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02/25/2033</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02/11/2035</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6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01/27/2036</w:t>
            </w:r>
          </w:p>
        </w:tc>
        <w:tc>
          <w:tcPr>
            <w:tcW w:w="12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12,801</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Reporting Person and her spouse as Trustees of the Titanium Boulder Irrevocable Trust dated July 11, 2020 (the "Titanium Trust"). The Reporting Person and her spouse share voting and dispositive power with respect to the securities held by the Titanium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to the Reporting Person on August 20, 2020.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to the Reporting Person on December 7, 2020.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to the Reporting Person on March 19,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Granted to the Reporting Person on May 21,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Granted to the Reporting Person on July 30,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Granted to the Reporting Person on February 23, 2022.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Granted to the Reporting Person on February 26, 2023. 1/4 of the total number of shares vested and became exercisable on January 1, 2024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Granted to the Reporting Person on January 17, 2024. 1/4 of the total number of shares vested and became exercisable on January 1, 2025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Granted to the Reporting Person on February 12, 2025. 1/4 of the total number of shares vested and became exercisable on January 1, 2026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Granted to the Reporting Person on January 28, 2026. 1/4 of the total number of shares vest and become exercisable on January 1, 2027 and the remaining shares vest and become exercisable in equal quarterly installments thereafter over a three-year period,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Granted to the Reporting Person's spouse on August 20, 2020.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Granted to the Reporting Person's spouse on March 19, 2021.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Granted to the Reporting Person's spouse on February 23, 2022.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Granted to the Reporting Person's spouse on February 26, 2023. 1/4 of the total number of shares vested and became exercisable on January 1, 2024 and the remaining shares vest and become exercisable in equal quarterly installments thereafter over a three-year period, subject to the Reporting Person's spouse's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Granted to the Reporting Person's spouse on January 17,2024. 1/4 of the total number of shares vested and became exercisable on January 1, 2025 and the remaining shares vest and become exercisable in equal quarterly installments thereafter over a three-year period, subject to the Reporting Person's spouse's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Granted to the Reporting Person's spouse on February 12, 2025. 1/4 of the total number of shares vested and became exercisable on January 1, 2026 and the remaining shares vest and become exercisable in equal quarterly installments thereafter over a three-year period, subject to the Reporting Person's spouse's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Granted to the Reporting Person's spouse on January 28, 2026. 1/4 of the total number of shares vest and become exercisable on January 1, 2027 and the remaining shares vest and become exercisable in equal quarterly installments thereafter over a three-year period, subject to the Reporting Person's spouse's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Bian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9242026_100936.htm"/>
      <w:bookmarkStart w:id="3" w:name="ksex2409242026_100936"/>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Jiang Bian, Adam Shubin and John San Jule of ADARx Pharmaceuticals,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0"/>
              <w:ind w:left="0" w:right="0" w:hanging="0"/>
              <w:jc w:val="both"/>
              <w:rPr/>
            </w:pPr>
            <w:r>
              <w:rPr/>
              <w:t>Date:  </w:t>
            </w:r>
            <w:r>
              <w:rPr>
                <w:u w:val="single"/>
              </w:rPr>
              <w:t>9/22/2026</w:t>
            </w:r>
          </w:p>
        </w:tc>
        <w:tc>
          <w:tcPr>
            <w:tcW w:w="4680" w:type="dxa"/>
            <w:tcBorders/>
          </w:tcPr>
          <w:p>
            <w:pPr>
              <w:pStyle w:val="TableContents"/>
              <w:bidi w:val="0"/>
              <w:spacing w:before="0" w:after="0"/>
              <w:ind w:left="0" w:right="0" w:hanging="0"/>
              <w:jc w:val="both"/>
              <w:rPr/>
            </w:pPr>
            <w:r>
              <w:rPr>
                <w:u w:val="single"/>
              </w:rPr>
              <w:t>/</w:t>
            </w:r>
            <w:r>
              <w:rPr>
                <w:i/>
                <w:u w:val="single"/>
              </w:rPr>
              <w:t>s/ Zhen Li, Ph.D.</w:t>
            </w:r>
          </w:p>
          <w:p>
            <w:pPr>
              <w:pStyle w:val="TableContents"/>
              <w:bidi w:val="0"/>
              <w:spacing w:before="0" w:after="0"/>
              <w:ind w:left="0" w:right="0" w:hanging="0"/>
              <w:jc w:val="both"/>
              <w:rPr/>
            </w:pPr>
            <w:r>
              <w:rPr/>
              <w:t>Name: Zhen Li, Ph.D.</w:t>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29510" TargetMode="External"/><Relationship Id="rId3" Type="http://schemas.openxmlformats.org/officeDocument/2006/relationships/hyperlink" Target="http://www.sec.gov/cgi-bin/browse-edgar?action=getcompany&amp;CIK=00018023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1843</Words>
  <Characters>9633</Characters>
  <CharactersWithSpaces>11271</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